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FF9" w:rsidRDefault="00332FF9" w:rsidP="00A401F4"/>
    <w:p w:rsidR="00332FF9" w:rsidRDefault="00332FF9" w:rsidP="00A401F4">
      <w:pPr>
        <w:jc w:val="right"/>
        <w:sectPr w:rsidR="00332FF9" w:rsidSect="003368F0">
          <w:footerReference w:type="default" r:id="rId7"/>
          <w:pgSz w:w="12240" w:h="15840"/>
          <w:pgMar w:top="720" w:right="1296" w:bottom="1296" w:left="1296" w:header="720" w:footer="720" w:gutter="0"/>
          <w:cols w:num="2" w:space="720" w:equalWidth="0">
            <w:col w:w="1764" w:space="180"/>
            <w:col w:w="7704"/>
          </w:cols>
          <w:docGrid w:linePitch="360"/>
        </w:sectPr>
      </w:pPr>
    </w:p>
    <w:p w:rsidR="00332FF9" w:rsidRDefault="008B6718" w:rsidP="00A401F4">
      <w:pPr>
        <w:jc w:val="right"/>
      </w:pPr>
      <w:r>
        <w:rPr>
          <w:noProof/>
        </w:rPr>
        <w:drawing>
          <wp:anchor distT="0" distB="0" distL="114300" distR="114300" simplePos="0" relativeHeight="251657728" behindDoc="1" locked="0" layoutInCell="1" allowOverlap="1">
            <wp:simplePos x="0" y="0"/>
            <wp:positionH relativeFrom="column">
              <wp:posOffset>0</wp:posOffset>
            </wp:positionH>
            <wp:positionV relativeFrom="paragraph">
              <wp:posOffset>0</wp:posOffset>
            </wp:positionV>
            <wp:extent cx="1223645" cy="1653540"/>
            <wp:effectExtent l="0" t="0" r="0" b="3810"/>
            <wp:wrapThrough wrapText="bothSides">
              <wp:wrapPolygon edited="0">
                <wp:start x="0" y="0"/>
                <wp:lineTo x="0" y="21401"/>
                <wp:lineTo x="21185" y="21401"/>
                <wp:lineTo x="21185" y="0"/>
                <wp:lineTo x="0"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3645" cy="1653540"/>
                    </a:xfrm>
                    <a:prstGeom prst="rect">
                      <a:avLst/>
                    </a:prstGeom>
                    <a:noFill/>
                  </pic:spPr>
                </pic:pic>
              </a:graphicData>
            </a:graphic>
            <wp14:sizeRelH relativeFrom="page">
              <wp14:pctWidth>0</wp14:pctWidth>
            </wp14:sizeRelH>
            <wp14:sizeRelV relativeFrom="page">
              <wp14:pctHeight>0</wp14:pctHeight>
            </wp14:sizeRelV>
          </wp:anchor>
        </w:drawing>
      </w:r>
      <w:r w:rsidR="00332FF9" w:rsidRPr="003368F0">
        <w:t xml:space="preserve"> </w:t>
      </w:r>
    </w:p>
    <w:p w:rsidR="00332FF9" w:rsidRPr="008748B9" w:rsidRDefault="00332FF9" w:rsidP="00A401F4">
      <w:pPr>
        <w:rPr>
          <w:rFonts w:ascii="Arial" w:hAnsi="Arial" w:cs="Arial"/>
        </w:rPr>
      </w:pPr>
    </w:p>
    <w:p w:rsidR="00332FF9" w:rsidRPr="008748B9" w:rsidRDefault="00CB3D52" w:rsidP="00A401F4">
      <w:pPr>
        <w:jc w:val="center"/>
        <w:rPr>
          <w:rFonts w:ascii="Arial" w:hAnsi="Arial" w:cs="Arial"/>
          <w:sz w:val="28"/>
          <w:szCs w:val="28"/>
        </w:rPr>
      </w:pPr>
      <w:r>
        <w:rPr>
          <w:rFonts w:ascii="Arial" w:hAnsi="Arial" w:cs="Arial"/>
          <w:b/>
          <w:sz w:val="28"/>
          <w:szCs w:val="28"/>
        </w:rPr>
        <w:t xml:space="preserve">IOWA </w:t>
      </w:r>
      <w:r w:rsidR="00C43570">
        <w:rPr>
          <w:rFonts w:ascii="Arial" w:hAnsi="Arial" w:cs="Arial"/>
          <w:b/>
          <w:sz w:val="28"/>
          <w:szCs w:val="28"/>
        </w:rPr>
        <w:t>PEACE OFFICERS ASSOCIATION</w:t>
      </w:r>
    </w:p>
    <w:p w:rsidR="00332FF9" w:rsidRPr="008748B9" w:rsidRDefault="00332FF9" w:rsidP="00A401F4">
      <w:pPr>
        <w:jc w:val="center"/>
        <w:rPr>
          <w:rFonts w:ascii="Arial" w:hAnsi="Arial" w:cs="Arial"/>
          <w:b/>
          <w:i/>
          <w:sz w:val="28"/>
          <w:szCs w:val="28"/>
        </w:rPr>
      </w:pPr>
    </w:p>
    <w:p w:rsidR="00332FF9" w:rsidRPr="008748B9" w:rsidRDefault="00332FF9" w:rsidP="00A401F4">
      <w:pPr>
        <w:jc w:val="center"/>
        <w:rPr>
          <w:rFonts w:ascii="Arial" w:hAnsi="Arial" w:cs="Arial"/>
          <w:b/>
          <w:i/>
          <w:sz w:val="28"/>
          <w:szCs w:val="28"/>
        </w:rPr>
      </w:pPr>
      <w:r w:rsidRPr="008748B9">
        <w:rPr>
          <w:rFonts w:ascii="Arial" w:hAnsi="Arial" w:cs="Arial"/>
          <w:b/>
          <w:i/>
          <w:sz w:val="28"/>
          <w:szCs w:val="28"/>
        </w:rPr>
        <w:t>LEGISLATIVE UPDATE</w:t>
      </w:r>
    </w:p>
    <w:p w:rsidR="00332FF9" w:rsidRPr="008748B9" w:rsidRDefault="00332FF9" w:rsidP="00A401F4">
      <w:pPr>
        <w:jc w:val="center"/>
        <w:rPr>
          <w:rFonts w:ascii="Arial" w:hAnsi="Arial" w:cs="Arial"/>
          <w:b/>
          <w:sz w:val="28"/>
          <w:szCs w:val="28"/>
        </w:rPr>
      </w:pPr>
    </w:p>
    <w:p w:rsidR="00332FF9" w:rsidRPr="008748B9" w:rsidRDefault="00E02C5A" w:rsidP="00A401F4">
      <w:pPr>
        <w:jc w:val="center"/>
        <w:rPr>
          <w:rFonts w:ascii="Arial" w:hAnsi="Arial" w:cs="Arial"/>
          <w:b/>
          <w:sz w:val="28"/>
          <w:szCs w:val="28"/>
        </w:rPr>
      </w:pPr>
      <w:r>
        <w:rPr>
          <w:rFonts w:ascii="Arial" w:hAnsi="Arial" w:cs="Arial"/>
          <w:b/>
          <w:sz w:val="28"/>
          <w:szCs w:val="28"/>
        </w:rPr>
        <w:t>January 23-27</w:t>
      </w:r>
      <w:r w:rsidR="00F4663E">
        <w:rPr>
          <w:rFonts w:ascii="Arial" w:hAnsi="Arial" w:cs="Arial"/>
          <w:b/>
          <w:sz w:val="28"/>
          <w:szCs w:val="28"/>
        </w:rPr>
        <w:t>, 2017</w:t>
      </w:r>
    </w:p>
    <w:p w:rsidR="00332FF9" w:rsidRPr="008748B9" w:rsidRDefault="00332FF9" w:rsidP="00A401F4">
      <w:pPr>
        <w:jc w:val="center"/>
        <w:rPr>
          <w:rFonts w:ascii="Arial" w:hAnsi="Arial" w:cs="Arial"/>
        </w:rPr>
      </w:pPr>
      <w:r w:rsidRPr="008748B9">
        <w:rPr>
          <w:rFonts w:ascii="Arial" w:hAnsi="Arial" w:cs="Arial"/>
        </w:rPr>
        <w:t>____________________________________________</w:t>
      </w:r>
    </w:p>
    <w:p w:rsidR="00332FF9" w:rsidRPr="008748B9" w:rsidRDefault="00332FF9" w:rsidP="00A401F4">
      <w:pPr>
        <w:rPr>
          <w:rFonts w:ascii="Arial" w:hAnsi="Arial" w:cs="Arial"/>
        </w:rPr>
      </w:pPr>
    </w:p>
    <w:p w:rsidR="00332FF9" w:rsidRDefault="00332FF9" w:rsidP="00A401F4">
      <w:pPr>
        <w:rPr>
          <w:rFonts w:ascii="Arial" w:hAnsi="Arial" w:cs="Arial"/>
        </w:rPr>
      </w:pPr>
    </w:p>
    <w:p w:rsidR="00460DEC" w:rsidRDefault="00460DEC" w:rsidP="00A401F4">
      <w:pPr>
        <w:rPr>
          <w:rFonts w:ascii="Arial" w:hAnsi="Arial" w:cs="Arial"/>
        </w:rPr>
      </w:pPr>
    </w:p>
    <w:p w:rsidR="00460DEC" w:rsidRPr="00460DEC" w:rsidRDefault="00460DEC" w:rsidP="00460DEC">
      <w:pPr>
        <w:jc w:val="center"/>
        <w:rPr>
          <w:rFonts w:ascii="Arial" w:hAnsi="Arial" w:cs="Arial"/>
          <w:b/>
          <w:u w:val="single"/>
        </w:rPr>
      </w:pPr>
      <w:r w:rsidRPr="00460DEC">
        <w:rPr>
          <w:rFonts w:ascii="Arial" w:hAnsi="Arial" w:cs="Arial"/>
          <w:b/>
          <w:u w:val="single"/>
        </w:rPr>
        <w:t>De-appropriations Process Moves Forward</w:t>
      </w:r>
    </w:p>
    <w:p w:rsidR="00460DEC" w:rsidRPr="0039570C" w:rsidRDefault="00460DEC" w:rsidP="00460DEC">
      <w:pPr>
        <w:jc w:val="center"/>
        <w:rPr>
          <w:rFonts w:ascii="Arial" w:hAnsi="Arial" w:cs="Arial"/>
          <w:b/>
        </w:rPr>
      </w:pPr>
    </w:p>
    <w:p w:rsidR="00460DEC" w:rsidRDefault="00460DEC" w:rsidP="00460DEC">
      <w:pPr>
        <w:rPr>
          <w:rFonts w:ascii="Arial" w:hAnsi="Arial" w:cs="Arial"/>
        </w:rPr>
      </w:pPr>
      <w:r>
        <w:rPr>
          <w:rFonts w:ascii="Arial" w:hAnsi="Arial" w:cs="Arial"/>
        </w:rPr>
        <w:t>This week, the House and Senate advanced legislation that will de-appropriate funds to various areas of government.  This move is necessary because t</w:t>
      </w:r>
      <w:r w:rsidRPr="0039570C">
        <w:rPr>
          <w:rFonts w:ascii="Arial" w:hAnsi="Arial" w:cs="Arial"/>
        </w:rPr>
        <w:t xml:space="preserve">he state is facing a $117 million shortfall in revenues to maintain the spending levels approved by the 2016 Legislature.  </w:t>
      </w:r>
      <w:r>
        <w:rPr>
          <w:rFonts w:ascii="Arial" w:hAnsi="Arial" w:cs="Arial"/>
        </w:rPr>
        <w:t>Since the legislature adjourned last year,</w:t>
      </w:r>
      <w:r w:rsidRPr="0039570C">
        <w:rPr>
          <w:rFonts w:ascii="Arial" w:hAnsi="Arial" w:cs="Arial"/>
        </w:rPr>
        <w:t xml:space="preserve"> revenue has dropped</w:t>
      </w:r>
      <w:r>
        <w:rPr>
          <w:rFonts w:ascii="Arial" w:hAnsi="Arial" w:cs="Arial"/>
        </w:rPr>
        <w:t>.</w:t>
      </w:r>
      <w:r w:rsidRPr="0039570C">
        <w:rPr>
          <w:rFonts w:ascii="Arial" w:hAnsi="Arial" w:cs="Arial"/>
        </w:rPr>
        <w:t xml:space="preserve"> To fix this problem, the 2017 Legislature needs to reduce spending levels </w:t>
      </w:r>
      <w:r>
        <w:rPr>
          <w:rFonts w:ascii="Arial" w:hAnsi="Arial" w:cs="Arial"/>
        </w:rPr>
        <w:t>so they do not exceed revenue. This is the</w:t>
      </w:r>
      <w:r w:rsidRPr="0039570C">
        <w:rPr>
          <w:rFonts w:ascii="Arial" w:hAnsi="Arial" w:cs="Arial"/>
        </w:rPr>
        <w:t xml:space="preserve"> fourth consecutive year where actual revenue to the state will not meet the official forecast from the Revenue Estimating Conference.  </w:t>
      </w:r>
    </w:p>
    <w:p w:rsidR="00460DEC" w:rsidRDefault="00460DEC" w:rsidP="00460DEC">
      <w:pPr>
        <w:rPr>
          <w:rFonts w:ascii="Arial" w:hAnsi="Arial" w:cs="Arial"/>
        </w:rPr>
      </w:pPr>
      <w:r w:rsidRPr="0039570C">
        <w:rPr>
          <w:rFonts w:ascii="Arial" w:hAnsi="Arial" w:cs="Arial"/>
        </w:rPr>
        <w:t>Senate File 130</w:t>
      </w:r>
      <w:r>
        <w:rPr>
          <w:rFonts w:ascii="Arial" w:hAnsi="Arial" w:cs="Arial"/>
        </w:rPr>
        <w:t>/HF 118 increase</w:t>
      </w:r>
      <w:r w:rsidRPr="0039570C">
        <w:rPr>
          <w:rFonts w:ascii="Arial" w:hAnsi="Arial" w:cs="Arial"/>
        </w:rPr>
        <w:t xml:space="preserve"> revenue to the General F</w:t>
      </w:r>
      <w:r>
        <w:rPr>
          <w:rFonts w:ascii="Arial" w:hAnsi="Arial" w:cs="Arial"/>
        </w:rPr>
        <w:t>und by $25.1 million and reduce</w:t>
      </w:r>
      <w:r w:rsidRPr="0039570C">
        <w:rPr>
          <w:rFonts w:ascii="Arial" w:hAnsi="Arial" w:cs="Arial"/>
        </w:rPr>
        <w:t xml:space="preserve"> net General Fund appropriations by $88.2 million, resulting in a total FY 2017 General Fund budget adjustment of $113.3 million.</w:t>
      </w:r>
    </w:p>
    <w:p w:rsidR="00460DEC" w:rsidRDefault="00460DEC" w:rsidP="00460DEC">
      <w:pPr>
        <w:rPr>
          <w:rFonts w:ascii="Arial" w:hAnsi="Arial" w:cs="Arial"/>
        </w:rPr>
      </w:pPr>
    </w:p>
    <w:p w:rsidR="00460DEC" w:rsidRDefault="00460DEC" w:rsidP="00460DEC">
      <w:pPr>
        <w:rPr>
          <w:rFonts w:ascii="Arial" w:hAnsi="Arial" w:cs="Arial"/>
        </w:rPr>
      </w:pPr>
      <w:r w:rsidRPr="0039570C">
        <w:rPr>
          <w:rFonts w:ascii="Arial" w:hAnsi="Arial" w:cs="Arial"/>
        </w:rPr>
        <w:t>The Bill</w:t>
      </w:r>
      <w:r>
        <w:rPr>
          <w:rFonts w:ascii="Arial" w:hAnsi="Arial" w:cs="Arial"/>
        </w:rPr>
        <w:t>s</w:t>
      </w:r>
      <w:r w:rsidRPr="0039570C">
        <w:rPr>
          <w:rFonts w:ascii="Arial" w:hAnsi="Arial" w:cs="Arial"/>
        </w:rPr>
        <w:t xml:space="preserve"> transfers a total of $25.1 million of revenues from non-General Fund sources to the General Fund for FY 2017. The transfers include: </w:t>
      </w:r>
    </w:p>
    <w:p w:rsidR="00460DEC" w:rsidRDefault="00460DEC" w:rsidP="00460DEC">
      <w:pPr>
        <w:pStyle w:val="ListParagraph"/>
        <w:numPr>
          <w:ilvl w:val="0"/>
          <w:numId w:val="3"/>
        </w:numPr>
        <w:rPr>
          <w:rFonts w:ascii="Arial" w:hAnsi="Arial" w:cs="Arial"/>
          <w:sz w:val="24"/>
          <w:szCs w:val="24"/>
        </w:rPr>
      </w:pPr>
      <w:r w:rsidRPr="00142590">
        <w:rPr>
          <w:rFonts w:ascii="Arial" w:hAnsi="Arial" w:cs="Arial"/>
          <w:sz w:val="24"/>
          <w:szCs w:val="24"/>
        </w:rPr>
        <w:t xml:space="preserve">$6.1 million from the Iowa Cultural Trust Fund </w:t>
      </w:r>
    </w:p>
    <w:p w:rsidR="00460DEC" w:rsidRDefault="00460DEC" w:rsidP="00460DEC">
      <w:pPr>
        <w:pStyle w:val="ListParagraph"/>
        <w:numPr>
          <w:ilvl w:val="0"/>
          <w:numId w:val="3"/>
        </w:numPr>
        <w:rPr>
          <w:rFonts w:ascii="Arial" w:hAnsi="Arial" w:cs="Arial"/>
          <w:sz w:val="24"/>
          <w:szCs w:val="24"/>
        </w:rPr>
      </w:pPr>
      <w:r w:rsidRPr="00142590">
        <w:rPr>
          <w:rFonts w:ascii="Arial" w:hAnsi="Arial" w:cs="Arial"/>
          <w:sz w:val="24"/>
          <w:szCs w:val="24"/>
        </w:rPr>
        <w:t xml:space="preserve">$1.0 million from the Strategic Investment Fund </w:t>
      </w:r>
    </w:p>
    <w:p w:rsidR="00460DEC" w:rsidRDefault="00460DEC" w:rsidP="00460DEC">
      <w:pPr>
        <w:pStyle w:val="ListParagraph"/>
        <w:numPr>
          <w:ilvl w:val="0"/>
          <w:numId w:val="3"/>
        </w:numPr>
        <w:rPr>
          <w:rFonts w:ascii="Arial" w:hAnsi="Arial" w:cs="Arial"/>
          <w:sz w:val="24"/>
          <w:szCs w:val="24"/>
        </w:rPr>
      </w:pPr>
      <w:r w:rsidRPr="00142590">
        <w:rPr>
          <w:rFonts w:ascii="Arial" w:hAnsi="Arial" w:cs="Arial"/>
          <w:sz w:val="24"/>
          <w:szCs w:val="24"/>
        </w:rPr>
        <w:t xml:space="preserve">$2.0 million from the Innovation and Commercialization Development Fund </w:t>
      </w:r>
    </w:p>
    <w:p w:rsidR="00460DEC" w:rsidRDefault="00460DEC" w:rsidP="00460DEC">
      <w:pPr>
        <w:pStyle w:val="ListParagraph"/>
        <w:numPr>
          <w:ilvl w:val="0"/>
          <w:numId w:val="3"/>
        </w:numPr>
        <w:rPr>
          <w:rFonts w:ascii="Arial" w:hAnsi="Arial" w:cs="Arial"/>
          <w:sz w:val="24"/>
          <w:szCs w:val="24"/>
        </w:rPr>
      </w:pPr>
      <w:r w:rsidRPr="00142590">
        <w:rPr>
          <w:rFonts w:ascii="Arial" w:hAnsi="Arial" w:cs="Arial"/>
          <w:sz w:val="24"/>
          <w:szCs w:val="24"/>
        </w:rPr>
        <w:t xml:space="preserve">$2.0 million from the Economic Development Energy Projects Fund </w:t>
      </w:r>
    </w:p>
    <w:p w:rsidR="00460DEC" w:rsidRDefault="00460DEC" w:rsidP="00460DEC">
      <w:pPr>
        <w:pStyle w:val="ListParagraph"/>
        <w:numPr>
          <w:ilvl w:val="0"/>
          <w:numId w:val="3"/>
        </w:numPr>
        <w:rPr>
          <w:rFonts w:ascii="Arial" w:hAnsi="Arial" w:cs="Arial"/>
          <w:sz w:val="24"/>
          <w:szCs w:val="24"/>
        </w:rPr>
      </w:pPr>
      <w:r w:rsidRPr="00142590">
        <w:rPr>
          <w:rFonts w:ascii="Arial" w:hAnsi="Arial" w:cs="Arial"/>
          <w:sz w:val="24"/>
          <w:szCs w:val="24"/>
        </w:rPr>
        <w:t xml:space="preserve">$12.0 million from the Grow Iowa Values Fund </w:t>
      </w:r>
    </w:p>
    <w:p w:rsidR="00460DEC" w:rsidRPr="00142590" w:rsidRDefault="00460DEC" w:rsidP="00460DEC">
      <w:pPr>
        <w:pStyle w:val="ListParagraph"/>
        <w:numPr>
          <w:ilvl w:val="0"/>
          <w:numId w:val="3"/>
        </w:numPr>
        <w:rPr>
          <w:rFonts w:ascii="Arial" w:hAnsi="Arial" w:cs="Arial"/>
          <w:sz w:val="24"/>
          <w:szCs w:val="24"/>
        </w:rPr>
      </w:pPr>
      <w:r w:rsidRPr="00142590">
        <w:rPr>
          <w:rFonts w:ascii="Arial" w:hAnsi="Arial" w:cs="Arial"/>
          <w:sz w:val="24"/>
          <w:szCs w:val="24"/>
        </w:rPr>
        <w:t>$2.0 million from the Federal Economic Stimulus and Jobs Holding Fund</w:t>
      </w:r>
    </w:p>
    <w:p w:rsidR="00460DEC" w:rsidRDefault="00460DEC" w:rsidP="00460DEC">
      <w:pPr>
        <w:rPr>
          <w:rFonts w:ascii="Arial" w:hAnsi="Arial" w:cs="Arial"/>
        </w:rPr>
      </w:pPr>
      <w:r>
        <w:rPr>
          <w:rFonts w:ascii="Arial" w:hAnsi="Arial" w:cs="Arial"/>
        </w:rPr>
        <w:t>SF 130/HF 118 provide</w:t>
      </w:r>
      <w:r w:rsidRPr="0039570C">
        <w:rPr>
          <w:rFonts w:ascii="Arial" w:hAnsi="Arial" w:cs="Arial"/>
        </w:rPr>
        <w:t xml:space="preserve"> net supplemental appropriations from the Temporary Assistance for Needy Families (TANF) federal block grant for FY 2017 of $10.3 million. This includes supplemental appropriations totaling $16.0 million to the Department of Human Services (DHS) to offset General Fund </w:t>
      </w:r>
      <w:proofErr w:type="spellStart"/>
      <w:r w:rsidRPr="0039570C">
        <w:rPr>
          <w:rFonts w:ascii="Arial" w:hAnsi="Arial" w:cs="Arial"/>
        </w:rPr>
        <w:t>deappropriations</w:t>
      </w:r>
      <w:proofErr w:type="spellEnd"/>
      <w:r w:rsidRPr="0039570C">
        <w:rPr>
          <w:rFonts w:ascii="Arial" w:hAnsi="Arial" w:cs="Arial"/>
        </w:rPr>
        <w:t xml:space="preserve"> from certain programs. These include: $10.0 million for the Family Investment Program $3.0 million for DHS Field Offices $3.0 million for the State Child Care Assistance Program</w:t>
      </w:r>
    </w:p>
    <w:p w:rsidR="00460DEC" w:rsidRPr="0039570C" w:rsidRDefault="00460DEC" w:rsidP="00460DEC">
      <w:pPr>
        <w:rPr>
          <w:rFonts w:ascii="Arial" w:hAnsi="Arial" w:cs="Arial"/>
        </w:rPr>
      </w:pPr>
    </w:p>
    <w:p w:rsidR="00460DEC" w:rsidRDefault="00460DEC" w:rsidP="00460DEC">
      <w:pPr>
        <w:rPr>
          <w:rFonts w:ascii="Arial" w:hAnsi="Arial" w:cs="Arial"/>
        </w:rPr>
      </w:pPr>
      <w:r w:rsidRPr="0039570C">
        <w:rPr>
          <w:rFonts w:ascii="Arial" w:hAnsi="Arial" w:cs="Arial"/>
        </w:rPr>
        <w:t xml:space="preserve">The Bill also includes a </w:t>
      </w:r>
      <w:proofErr w:type="spellStart"/>
      <w:r w:rsidRPr="0039570C">
        <w:rPr>
          <w:rFonts w:ascii="Arial" w:hAnsi="Arial" w:cs="Arial"/>
        </w:rPr>
        <w:t>deappropriation</w:t>
      </w:r>
      <w:proofErr w:type="spellEnd"/>
      <w:r w:rsidRPr="0039570C">
        <w:rPr>
          <w:rFonts w:ascii="Arial" w:hAnsi="Arial" w:cs="Arial"/>
        </w:rPr>
        <w:t xml:space="preserve"> of $5.7 million from a TANF appropriation for the Family Investment Program Eligibility System.</w:t>
      </w:r>
    </w:p>
    <w:p w:rsidR="00460DEC" w:rsidRDefault="00460DEC" w:rsidP="00460DEC">
      <w:pPr>
        <w:rPr>
          <w:rFonts w:ascii="Arial" w:hAnsi="Arial" w:cs="Arial"/>
        </w:rPr>
      </w:pPr>
    </w:p>
    <w:p w:rsidR="00460DEC" w:rsidRDefault="00460DEC" w:rsidP="00460DEC">
      <w:pPr>
        <w:rPr>
          <w:rFonts w:ascii="Arial" w:hAnsi="Arial" w:cs="Arial"/>
        </w:rPr>
      </w:pPr>
    </w:p>
    <w:p w:rsidR="00460DEC" w:rsidRPr="0039570C" w:rsidRDefault="00460DEC" w:rsidP="00460DEC">
      <w:pPr>
        <w:rPr>
          <w:rFonts w:ascii="Arial" w:hAnsi="Arial" w:cs="Arial"/>
        </w:rPr>
      </w:pPr>
    </w:p>
    <w:p w:rsidR="00460DEC" w:rsidRDefault="00460DEC" w:rsidP="00460DEC">
      <w:pPr>
        <w:rPr>
          <w:rFonts w:ascii="Arial" w:hAnsi="Arial" w:cs="Arial"/>
          <w:b/>
          <w:i/>
        </w:rPr>
      </w:pPr>
      <w:r>
        <w:rPr>
          <w:rFonts w:ascii="Arial" w:hAnsi="Arial" w:cs="Arial"/>
          <w:b/>
          <w:i/>
        </w:rPr>
        <w:lastRenderedPageBreak/>
        <w:t>Changes to Prior Appropriations</w:t>
      </w:r>
    </w:p>
    <w:p w:rsidR="00460DEC" w:rsidRPr="00142590" w:rsidRDefault="00460DEC" w:rsidP="00460DEC">
      <w:pPr>
        <w:rPr>
          <w:rFonts w:ascii="Arial" w:hAnsi="Arial" w:cs="Arial"/>
          <w:b/>
          <w:i/>
        </w:rPr>
      </w:pPr>
    </w:p>
    <w:p w:rsidR="00460DEC" w:rsidRDefault="00460DEC" w:rsidP="00460DEC">
      <w:pPr>
        <w:rPr>
          <w:rFonts w:ascii="Arial" w:hAnsi="Arial" w:cs="Arial"/>
        </w:rPr>
      </w:pPr>
      <w:r>
        <w:rPr>
          <w:rFonts w:ascii="Arial" w:hAnsi="Arial" w:cs="Arial"/>
        </w:rPr>
        <w:t xml:space="preserve">SF 130/HF 118 also </w:t>
      </w:r>
      <w:proofErr w:type="spellStart"/>
      <w:r>
        <w:rPr>
          <w:rFonts w:ascii="Arial" w:hAnsi="Arial" w:cs="Arial"/>
        </w:rPr>
        <w:t>deappropriate</w:t>
      </w:r>
      <w:proofErr w:type="spellEnd"/>
      <w:r w:rsidRPr="0039570C">
        <w:rPr>
          <w:rFonts w:ascii="Arial" w:hAnsi="Arial" w:cs="Arial"/>
        </w:rPr>
        <w:t xml:space="preserve"> $48.4 million from FY 2017 General Fund appropriations to 27 State departments, agencies, and e</w:t>
      </w:r>
      <w:r>
        <w:rPr>
          <w:rFonts w:ascii="Arial" w:hAnsi="Arial" w:cs="Arial"/>
        </w:rPr>
        <w:t>ntities and the Judicial Branch and require certain transfers of use.  The bills:</w:t>
      </w:r>
    </w:p>
    <w:p w:rsidR="00460DEC" w:rsidRPr="0039570C" w:rsidRDefault="00460DEC" w:rsidP="00460DEC">
      <w:pPr>
        <w:rPr>
          <w:rFonts w:ascii="Arial" w:hAnsi="Arial" w:cs="Arial"/>
        </w:rPr>
      </w:pPr>
    </w:p>
    <w:p w:rsidR="00460DEC" w:rsidRPr="00142590" w:rsidRDefault="00460DEC" w:rsidP="00460DEC">
      <w:pPr>
        <w:pStyle w:val="ListParagraph"/>
        <w:numPr>
          <w:ilvl w:val="0"/>
          <w:numId w:val="4"/>
        </w:numPr>
        <w:rPr>
          <w:rFonts w:ascii="Arial" w:hAnsi="Arial" w:cs="Arial"/>
          <w:sz w:val="24"/>
          <w:szCs w:val="24"/>
        </w:rPr>
      </w:pPr>
      <w:r>
        <w:rPr>
          <w:rFonts w:ascii="Arial" w:hAnsi="Arial" w:cs="Arial"/>
          <w:sz w:val="24"/>
          <w:szCs w:val="24"/>
        </w:rPr>
        <w:t>Provide</w:t>
      </w:r>
      <w:r w:rsidRPr="00142590">
        <w:rPr>
          <w:rFonts w:ascii="Arial" w:hAnsi="Arial" w:cs="Arial"/>
          <w:sz w:val="24"/>
          <w:szCs w:val="24"/>
        </w:rPr>
        <w:t xml:space="preserve"> a General Fund FY 2017 supplemental appropriation to the Office of the State Public Defender in the Department of Inspections and Appeals (DIA) for the Indigent Defense Fund in the amount of $4.3 million.</w:t>
      </w:r>
    </w:p>
    <w:p w:rsidR="00460DEC" w:rsidRPr="00142590" w:rsidRDefault="00460DEC" w:rsidP="00460DEC">
      <w:pPr>
        <w:pStyle w:val="ListParagraph"/>
        <w:numPr>
          <w:ilvl w:val="0"/>
          <w:numId w:val="4"/>
        </w:numPr>
        <w:rPr>
          <w:rFonts w:ascii="Arial" w:hAnsi="Arial" w:cs="Arial"/>
          <w:sz w:val="24"/>
          <w:szCs w:val="24"/>
        </w:rPr>
      </w:pPr>
      <w:r>
        <w:rPr>
          <w:rFonts w:ascii="Arial" w:hAnsi="Arial" w:cs="Arial"/>
          <w:sz w:val="24"/>
          <w:szCs w:val="24"/>
        </w:rPr>
        <w:t>Require</w:t>
      </w:r>
      <w:r w:rsidRPr="00142590">
        <w:rPr>
          <w:rFonts w:ascii="Arial" w:hAnsi="Arial" w:cs="Arial"/>
          <w:sz w:val="24"/>
          <w:szCs w:val="24"/>
        </w:rPr>
        <w:t xml:space="preserve"> that $1.0 million from the Open Spaces Account of the Resource Enhancement and Protection Fund (REAP) be used to fund maintenance at State parks for the remainder of FY 2017.</w:t>
      </w:r>
    </w:p>
    <w:p w:rsidR="00460DEC" w:rsidRPr="00142590" w:rsidRDefault="00460DEC" w:rsidP="00460DEC">
      <w:pPr>
        <w:pStyle w:val="ListParagraph"/>
        <w:numPr>
          <w:ilvl w:val="0"/>
          <w:numId w:val="4"/>
        </w:numPr>
        <w:rPr>
          <w:rFonts w:ascii="Arial" w:hAnsi="Arial" w:cs="Arial"/>
          <w:sz w:val="24"/>
          <w:szCs w:val="24"/>
        </w:rPr>
      </w:pPr>
      <w:r w:rsidRPr="00142590">
        <w:rPr>
          <w:rFonts w:ascii="Arial" w:hAnsi="Arial" w:cs="Arial"/>
          <w:sz w:val="24"/>
          <w:szCs w:val="24"/>
        </w:rPr>
        <w:t>Transfer $350,000 from the FY 2016 General Fund carryforward balance of the Iowa Veterans Home to the College Student Aid Commission for purposes of funding the National Guard Educational Assistance Program for FY 2017.</w:t>
      </w:r>
    </w:p>
    <w:p w:rsidR="00460DEC" w:rsidRPr="00142590" w:rsidRDefault="00460DEC" w:rsidP="00460DEC">
      <w:pPr>
        <w:pStyle w:val="ListParagraph"/>
        <w:numPr>
          <w:ilvl w:val="0"/>
          <w:numId w:val="4"/>
        </w:numPr>
        <w:rPr>
          <w:rFonts w:ascii="Arial" w:hAnsi="Arial" w:cs="Arial"/>
          <w:sz w:val="24"/>
          <w:szCs w:val="24"/>
        </w:rPr>
      </w:pPr>
      <w:proofErr w:type="spellStart"/>
      <w:r>
        <w:rPr>
          <w:rFonts w:ascii="Arial" w:hAnsi="Arial" w:cs="Arial"/>
          <w:sz w:val="24"/>
          <w:szCs w:val="24"/>
        </w:rPr>
        <w:t>Deappropriate</w:t>
      </w:r>
      <w:proofErr w:type="spellEnd"/>
      <w:r w:rsidRPr="00142590">
        <w:rPr>
          <w:rFonts w:ascii="Arial" w:hAnsi="Arial" w:cs="Arial"/>
          <w:sz w:val="24"/>
          <w:szCs w:val="24"/>
        </w:rPr>
        <w:t xml:space="preserve"> $12.1 million from the estimated FY 2017 General Fund appropriation for the Family Investment Program. Of this amount, $10.0 million is replaced by a supplemental TANF appropriation for the Program.</w:t>
      </w:r>
    </w:p>
    <w:p w:rsidR="00460DEC" w:rsidRPr="00142590" w:rsidRDefault="00460DEC" w:rsidP="00460DEC">
      <w:pPr>
        <w:pStyle w:val="ListParagraph"/>
        <w:numPr>
          <w:ilvl w:val="0"/>
          <w:numId w:val="4"/>
        </w:numPr>
        <w:rPr>
          <w:rFonts w:ascii="Arial" w:hAnsi="Arial" w:cs="Arial"/>
          <w:sz w:val="24"/>
          <w:szCs w:val="24"/>
        </w:rPr>
      </w:pPr>
      <w:proofErr w:type="spellStart"/>
      <w:r>
        <w:rPr>
          <w:rFonts w:ascii="Arial" w:hAnsi="Arial" w:cs="Arial"/>
          <w:sz w:val="24"/>
          <w:szCs w:val="24"/>
        </w:rPr>
        <w:t>Deappropriate</w:t>
      </w:r>
      <w:proofErr w:type="spellEnd"/>
      <w:r w:rsidRPr="00142590">
        <w:rPr>
          <w:rFonts w:ascii="Arial" w:hAnsi="Arial" w:cs="Arial"/>
          <w:sz w:val="24"/>
          <w:szCs w:val="24"/>
        </w:rPr>
        <w:t xml:space="preserve"> $13.9 million from the estimated FY 2017 General Fund appropriation for Medicaid.</w:t>
      </w:r>
    </w:p>
    <w:p w:rsidR="00460DEC" w:rsidRPr="00142590" w:rsidRDefault="00460DEC" w:rsidP="00460DEC">
      <w:pPr>
        <w:pStyle w:val="ListParagraph"/>
        <w:numPr>
          <w:ilvl w:val="0"/>
          <w:numId w:val="4"/>
        </w:numPr>
        <w:rPr>
          <w:rFonts w:ascii="Arial" w:hAnsi="Arial" w:cs="Arial"/>
          <w:sz w:val="24"/>
          <w:szCs w:val="24"/>
        </w:rPr>
      </w:pPr>
      <w:proofErr w:type="spellStart"/>
      <w:r>
        <w:rPr>
          <w:rFonts w:ascii="Arial" w:hAnsi="Arial" w:cs="Arial"/>
          <w:sz w:val="24"/>
          <w:szCs w:val="24"/>
        </w:rPr>
        <w:t>Deappropriate</w:t>
      </w:r>
      <w:proofErr w:type="spellEnd"/>
      <w:r w:rsidRPr="00142590">
        <w:rPr>
          <w:rFonts w:ascii="Arial" w:hAnsi="Arial" w:cs="Arial"/>
          <w:sz w:val="24"/>
          <w:szCs w:val="24"/>
        </w:rPr>
        <w:t xml:space="preserve"> $3.0 million from the estimated FY 2017 General Fund appropriation for Child Care Assistance. This amount is replaced with a $3,000,000 TANF appropriation for Child Care Assistance.</w:t>
      </w:r>
    </w:p>
    <w:p w:rsidR="00460DEC" w:rsidRPr="00142590" w:rsidRDefault="00460DEC" w:rsidP="00460DEC">
      <w:pPr>
        <w:pStyle w:val="ListParagraph"/>
        <w:numPr>
          <w:ilvl w:val="0"/>
          <w:numId w:val="4"/>
        </w:numPr>
        <w:rPr>
          <w:rFonts w:ascii="Arial" w:hAnsi="Arial" w:cs="Arial"/>
          <w:sz w:val="24"/>
          <w:szCs w:val="24"/>
        </w:rPr>
      </w:pPr>
      <w:proofErr w:type="spellStart"/>
      <w:r>
        <w:rPr>
          <w:rFonts w:ascii="Arial" w:hAnsi="Arial" w:cs="Arial"/>
          <w:sz w:val="24"/>
          <w:szCs w:val="24"/>
        </w:rPr>
        <w:t>Deappropriate</w:t>
      </w:r>
      <w:proofErr w:type="spellEnd"/>
      <w:r w:rsidRPr="00142590">
        <w:rPr>
          <w:rFonts w:ascii="Arial" w:hAnsi="Arial" w:cs="Arial"/>
          <w:sz w:val="24"/>
          <w:szCs w:val="24"/>
        </w:rPr>
        <w:t xml:space="preserve"> $3.0 million from the estimated FY 2017 General Fund appropriation for DHS Field Operations. This amount is replaced with a $3.0 million TANF appropriation for Field Operations.</w:t>
      </w:r>
    </w:p>
    <w:p w:rsidR="00460DEC" w:rsidRPr="00142590" w:rsidRDefault="00460DEC" w:rsidP="00460DEC">
      <w:pPr>
        <w:pStyle w:val="ListParagraph"/>
        <w:numPr>
          <w:ilvl w:val="0"/>
          <w:numId w:val="4"/>
        </w:numPr>
        <w:rPr>
          <w:rFonts w:ascii="Arial" w:hAnsi="Arial" w:cs="Arial"/>
          <w:sz w:val="24"/>
          <w:szCs w:val="24"/>
        </w:rPr>
      </w:pPr>
      <w:r>
        <w:rPr>
          <w:rFonts w:ascii="Arial" w:hAnsi="Arial" w:cs="Arial"/>
          <w:sz w:val="24"/>
          <w:szCs w:val="24"/>
        </w:rPr>
        <w:t>Transfer</w:t>
      </w:r>
      <w:r w:rsidRPr="00142590">
        <w:rPr>
          <w:rFonts w:ascii="Arial" w:hAnsi="Arial" w:cs="Arial"/>
          <w:sz w:val="24"/>
          <w:szCs w:val="24"/>
        </w:rPr>
        <w:t xml:space="preserve"> $1,100,000 from the Autism Support Fund to the Independence Mental Health Institute for FY 2017.</w:t>
      </w:r>
    </w:p>
    <w:p w:rsidR="00460DEC" w:rsidRPr="00142590" w:rsidRDefault="00460DEC" w:rsidP="00460DEC">
      <w:pPr>
        <w:pStyle w:val="ListParagraph"/>
        <w:numPr>
          <w:ilvl w:val="0"/>
          <w:numId w:val="4"/>
        </w:numPr>
        <w:rPr>
          <w:rFonts w:ascii="Arial" w:hAnsi="Arial" w:cs="Arial"/>
          <w:sz w:val="24"/>
          <w:szCs w:val="24"/>
        </w:rPr>
      </w:pPr>
      <w:r w:rsidRPr="00142590">
        <w:rPr>
          <w:rFonts w:ascii="Arial" w:hAnsi="Arial" w:cs="Arial"/>
          <w:sz w:val="24"/>
          <w:szCs w:val="24"/>
        </w:rPr>
        <w:t>Reduc</w:t>
      </w:r>
      <w:r>
        <w:rPr>
          <w:rFonts w:ascii="Arial" w:hAnsi="Arial" w:cs="Arial"/>
          <w:sz w:val="24"/>
          <w:szCs w:val="24"/>
        </w:rPr>
        <w:t>e</w:t>
      </w:r>
      <w:r w:rsidRPr="00142590">
        <w:rPr>
          <w:rFonts w:ascii="Arial" w:hAnsi="Arial" w:cs="Arial"/>
          <w:sz w:val="24"/>
          <w:szCs w:val="24"/>
        </w:rPr>
        <w:t xml:space="preserve"> Executive Branch departments’ FY 2017 General Fund operating appropriations by $11.5 million. Requires the Department of Management (DOM) to apply the reductions in consultation with each department.</w:t>
      </w:r>
    </w:p>
    <w:p w:rsidR="00460DEC" w:rsidRPr="00142590" w:rsidRDefault="00460DEC" w:rsidP="00460DEC">
      <w:pPr>
        <w:rPr>
          <w:rFonts w:ascii="Arial" w:hAnsi="Arial" w:cs="Arial"/>
          <w:b/>
          <w:i/>
        </w:rPr>
      </w:pPr>
      <w:r>
        <w:rPr>
          <w:rFonts w:ascii="Arial" w:hAnsi="Arial" w:cs="Arial"/>
          <w:b/>
          <w:i/>
        </w:rPr>
        <w:t>Studies and Intent</w:t>
      </w:r>
    </w:p>
    <w:p w:rsidR="00460DEC" w:rsidRPr="0039570C" w:rsidRDefault="00460DEC" w:rsidP="00460DEC">
      <w:pPr>
        <w:rPr>
          <w:rFonts w:ascii="Arial" w:hAnsi="Arial" w:cs="Arial"/>
        </w:rPr>
      </w:pPr>
      <w:r>
        <w:rPr>
          <w:rFonts w:ascii="Arial" w:hAnsi="Arial" w:cs="Arial"/>
        </w:rPr>
        <w:t xml:space="preserve">The </w:t>
      </w:r>
      <w:r w:rsidRPr="0039570C">
        <w:rPr>
          <w:rFonts w:ascii="Arial" w:hAnsi="Arial" w:cs="Arial"/>
        </w:rPr>
        <w:t xml:space="preserve">Department of Management (DOM) </w:t>
      </w:r>
      <w:r>
        <w:rPr>
          <w:rFonts w:ascii="Arial" w:hAnsi="Arial" w:cs="Arial"/>
        </w:rPr>
        <w:t xml:space="preserve">is required </w:t>
      </w:r>
      <w:r w:rsidRPr="0039570C">
        <w:rPr>
          <w:rFonts w:ascii="Arial" w:hAnsi="Arial" w:cs="Arial"/>
        </w:rPr>
        <w:t>to submit a report to the General Assembly and the Legislative Services Agency (LSA) within 15 days of the effective date of the Bill, listing how the $48.4 million in appropriation reductions (specified in Section 1 of the Bill) were applied to State agencies budgets.</w:t>
      </w:r>
    </w:p>
    <w:p w:rsidR="00460DEC" w:rsidRDefault="00460DEC" w:rsidP="00460DEC">
      <w:pPr>
        <w:rPr>
          <w:rFonts w:ascii="Arial" w:hAnsi="Arial" w:cs="Arial"/>
        </w:rPr>
      </w:pPr>
      <w:r w:rsidRPr="0039570C">
        <w:rPr>
          <w:rFonts w:ascii="Arial" w:hAnsi="Arial" w:cs="Arial"/>
        </w:rPr>
        <w:t xml:space="preserve">DOM </w:t>
      </w:r>
      <w:r>
        <w:rPr>
          <w:rFonts w:ascii="Arial" w:hAnsi="Arial" w:cs="Arial"/>
        </w:rPr>
        <w:t xml:space="preserve">is also required </w:t>
      </w:r>
      <w:r w:rsidRPr="0039570C">
        <w:rPr>
          <w:rFonts w:ascii="Arial" w:hAnsi="Arial" w:cs="Arial"/>
        </w:rPr>
        <w:t>to submit a report to the General Assembly and the LSA within 30 days of the effective date of the Bill listing how the $11.5 million in appropriation reductions (specified in Section 18 of the Bill) were applied to State agencies budgets.</w:t>
      </w:r>
    </w:p>
    <w:p w:rsidR="00460DEC" w:rsidRDefault="00460DEC" w:rsidP="00460DEC">
      <w:pPr>
        <w:rPr>
          <w:rFonts w:ascii="Arial" w:hAnsi="Arial" w:cs="Arial"/>
        </w:rPr>
      </w:pPr>
      <w:r>
        <w:rPr>
          <w:rFonts w:ascii="Arial" w:hAnsi="Arial" w:cs="Arial"/>
        </w:rPr>
        <w:t>Once passed and signed, the legislation will take effect upon enactment.</w:t>
      </w:r>
    </w:p>
    <w:p w:rsidR="00EE21DD" w:rsidRDefault="00EE21DD" w:rsidP="00A401F4">
      <w:pPr>
        <w:rPr>
          <w:rFonts w:ascii="Arial" w:hAnsi="Arial" w:cs="Arial"/>
        </w:rPr>
      </w:pPr>
    </w:p>
    <w:p w:rsidR="00460DEC" w:rsidRDefault="00460DEC" w:rsidP="00EE21DD">
      <w:pPr>
        <w:jc w:val="center"/>
        <w:rPr>
          <w:rFonts w:ascii="Arial" w:hAnsi="Arial" w:cs="Arial"/>
          <w:b/>
        </w:rPr>
      </w:pPr>
    </w:p>
    <w:p w:rsidR="00460DEC" w:rsidRDefault="00460DEC" w:rsidP="00EE21DD">
      <w:pPr>
        <w:jc w:val="center"/>
        <w:rPr>
          <w:rFonts w:ascii="Arial" w:hAnsi="Arial" w:cs="Arial"/>
          <w:b/>
        </w:rPr>
      </w:pPr>
    </w:p>
    <w:p w:rsidR="00460DEC" w:rsidRDefault="00460DEC" w:rsidP="00EE21DD">
      <w:pPr>
        <w:jc w:val="center"/>
        <w:rPr>
          <w:rFonts w:ascii="Arial" w:hAnsi="Arial" w:cs="Arial"/>
          <w:b/>
        </w:rPr>
      </w:pPr>
    </w:p>
    <w:p w:rsidR="00127DDA" w:rsidRPr="00460DEC" w:rsidRDefault="00127DDA" w:rsidP="00EE21DD">
      <w:pPr>
        <w:jc w:val="center"/>
        <w:rPr>
          <w:rFonts w:ascii="Arial" w:hAnsi="Arial" w:cs="Arial"/>
          <w:u w:val="single"/>
        </w:rPr>
      </w:pPr>
      <w:r w:rsidRPr="00460DEC">
        <w:rPr>
          <w:rFonts w:ascii="Arial" w:hAnsi="Arial" w:cs="Arial"/>
          <w:b/>
          <w:u w:val="single"/>
        </w:rPr>
        <w:lastRenderedPageBreak/>
        <w:t>Bills of Interest</w:t>
      </w:r>
    </w:p>
    <w:p w:rsidR="00127DDA" w:rsidRDefault="00127DDA" w:rsidP="00A401F4">
      <w:pPr>
        <w:rPr>
          <w:rFonts w:ascii="Arial" w:hAnsi="Arial" w:cs="Arial"/>
        </w:rPr>
      </w:pPr>
    </w:p>
    <w:p w:rsidR="007F5832" w:rsidRDefault="007F5832" w:rsidP="00A401F4">
      <w:pPr>
        <w:rPr>
          <w:rFonts w:ascii="Calibri" w:eastAsia="Calibri" w:hAnsi="Calibri"/>
          <w:sz w:val="22"/>
          <w:szCs w:val="22"/>
        </w:rPr>
      </w:pPr>
      <w:r>
        <w:rPr>
          <w:rFonts w:ascii="Arial" w:hAnsi="Arial" w:cs="Arial"/>
        </w:rPr>
        <w:fldChar w:fldCharType="begin"/>
      </w:r>
      <w:r>
        <w:rPr>
          <w:rFonts w:ascii="Arial" w:hAnsi="Arial" w:cs="Arial"/>
        </w:rPr>
        <w:instrText xml:space="preserve"> LINK Excel.Sheet.12 "C:\\Users\\kelli\\Documents\\2017 Session\\2017 Session\\Client Bill Tracking.xlsx" "IPOA!R31C1:R38C2" \a \f 5 \h  \* MERGEFORMAT </w:instrText>
      </w:r>
      <w:r>
        <w:rPr>
          <w:rFonts w:ascii="Arial" w:hAnsi="Arial" w:cs="Arial"/>
        </w:rPr>
        <w:fldChar w:fldCharType="separate"/>
      </w:r>
    </w:p>
    <w:tbl>
      <w:tblPr>
        <w:tblStyle w:val="TableGrid"/>
        <w:tblW w:w="9985" w:type="dxa"/>
        <w:tblLook w:val="04A0" w:firstRow="1" w:lastRow="0" w:firstColumn="1" w:lastColumn="0" w:noHBand="0" w:noVBand="1"/>
      </w:tblPr>
      <w:tblGrid>
        <w:gridCol w:w="1435"/>
        <w:gridCol w:w="8550"/>
      </w:tblGrid>
      <w:tr w:rsidR="007F5832" w:rsidRPr="007F5832" w:rsidTr="007F5832">
        <w:trPr>
          <w:trHeight w:val="405"/>
        </w:trPr>
        <w:tc>
          <w:tcPr>
            <w:tcW w:w="1435" w:type="dxa"/>
            <w:hideMark/>
          </w:tcPr>
          <w:p w:rsidR="007F5832" w:rsidRPr="007F5832" w:rsidRDefault="007F5832" w:rsidP="007F5832">
            <w:pPr>
              <w:rPr>
                <w:rFonts w:ascii="Arial" w:hAnsi="Arial" w:cs="Arial"/>
                <w:u w:val="single"/>
              </w:rPr>
            </w:pPr>
            <w:hyperlink r:id="rId9" w:history="1">
              <w:r w:rsidRPr="007F5832">
                <w:rPr>
                  <w:rStyle w:val="Hyperlink"/>
                  <w:rFonts w:ascii="Arial" w:hAnsi="Arial" w:cs="Arial"/>
                </w:rPr>
                <w:t>HF 83</w:t>
              </w:r>
            </w:hyperlink>
          </w:p>
        </w:tc>
        <w:tc>
          <w:tcPr>
            <w:tcW w:w="8550" w:type="dxa"/>
            <w:hideMark/>
          </w:tcPr>
          <w:p w:rsidR="007F5832" w:rsidRPr="007F5832" w:rsidRDefault="007F5832">
            <w:pPr>
              <w:rPr>
                <w:rFonts w:ascii="Arial" w:hAnsi="Arial" w:cs="Arial"/>
              </w:rPr>
            </w:pPr>
            <w:r w:rsidRPr="007F5832">
              <w:rPr>
                <w:rFonts w:ascii="Arial" w:hAnsi="Arial" w:cs="Arial"/>
              </w:rPr>
              <w:t>A bill for an act relating to the passing of bicycles by motor vehicles, and making a penalty applicable.</w:t>
            </w:r>
          </w:p>
        </w:tc>
      </w:tr>
      <w:tr w:rsidR="007F5832" w:rsidRPr="007F5832" w:rsidTr="007F5832">
        <w:trPr>
          <w:trHeight w:val="608"/>
        </w:trPr>
        <w:tc>
          <w:tcPr>
            <w:tcW w:w="1435" w:type="dxa"/>
            <w:hideMark/>
          </w:tcPr>
          <w:p w:rsidR="007F5832" w:rsidRPr="007F5832" w:rsidRDefault="007F5832" w:rsidP="007F5832">
            <w:pPr>
              <w:rPr>
                <w:rFonts w:ascii="Arial" w:hAnsi="Arial" w:cs="Arial"/>
                <w:u w:val="single"/>
              </w:rPr>
            </w:pPr>
            <w:hyperlink r:id="rId10" w:history="1">
              <w:r w:rsidRPr="007F5832">
                <w:rPr>
                  <w:rStyle w:val="Hyperlink"/>
                  <w:rFonts w:ascii="Arial" w:hAnsi="Arial" w:cs="Arial"/>
                </w:rPr>
                <w:t>HF 77</w:t>
              </w:r>
            </w:hyperlink>
          </w:p>
        </w:tc>
        <w:tc>
          <w:tcPr>
            <w:tcW w:w="8550" w:type="dxa"/>
            <w:hideMark/>
          </w:tcPr>
          <w:p w:rsidR="007F5832" w:rsidRPr="007F5832" w:rsidRDefault="007F5832">
            <w:pPr>
              <w:rPr>
                <w:rFonts w:ascii="Arial" w:hAnsi="Arial" w:cs="Arial"/>
              </w:rPr>
            </w:pPr>
            <w:r w:rsidRPr="007F5832">
              <w:rPr>
                <w:rFonts w:ascii="Arial" w:hAnsi="Arial" w:cs="Arial"/>
              </w:rPr>
              <w:t>A bill for an act requiring certain peace officers, including tribal law enforcement officers, to wear and use a body camera and providing remedies.</w:t>
            </w:r>
          </w:p>
        </w:tc>
      </w:tr>
      <w:tr w:rsidR="007F5832" w:rsidRPr="007F5832" w:rsidTr="007F5832">
        <w:trPr>
          <w:trHeight w:val="608"/>
        </w:trPr>
        <w:tc>
          <w:tcPr>
            <w:tcW w:w="1435" w:type="dxa"/>
            <w:hideMark/>
          </w:tcPr>
          <w:p w:rsidR="007F5832" w:rsidRPr="007F5832" w:rsidRDefault="007F5832" w:rsidP="007F5832">
            <w:pPr>
              <w:rPr>
                <w:rFonts w:ascii="Arial" w:hAnsi="Arial" w:cs="Arial"/>
                <w:u w:val="single"/>
              </w:rPr>
            </w:pPr>
            <w:hyperlink r:id="rId11" w:history="1">
              <w:r w:rsidRPr="007F5832">
                <w:rPr>
                  <w:rStyle w:val="Hyperlink"/>
                  <w:rFonts w:ascii="Arial" w:hAnsi="Arial" w:cs="Arial"/>
                </w:rPr>
                <w:t>HSB 32</w:t>
              </w:r>
            </w:hyperlink>
          </w:p>
        </w:tc>
        <w:tc>
          <w:tcPr>
            <w:tcW w:w="8550" w:type="dxa"/>
            <w:hideMark/>
          </w:tcPr>
          <w:p w:rsidR="007F5832" w:rsidRPr="007F5832" w:rsidRDefault="007F5832">
            <w:pPr>
              <w:rPr>
                <w:rFonts w:ascii="Arial" w:hAnsi="Arial" w:cs="Arial"/>
              </w:rPr>
            </w:pPr>
            <w:r w:rsidRPr="007F5832">
              <w:rPr>
                <w:rFonts w:ascii="Arial" w:hAnsi="Arial" w:cs="Arial"/>
              </w:rPr>
              <w:t>A bill for an act relating to peace officer personal information under the control of local officials and including effective date pr</w:t>
            </w:r>
            <w:r>
              <w:rPr>
                <w:rFonts w:ascii="Arial" w:hAnsi="Arial" w:cs="Arial"/>
              </w:rPr>
              <w:t>ovisions.</w:t>
            </w:r>
          </w:p>
        </w:tc>
      </w:tr>
      <w:tr w:rsidR="007F5832" w:rsidRPr="007F5832" w:rsidTr="007F5832">
        <w:trPr>
          <w:trHeight w:val="608"/>
        </w:trPr>
        <w:tc>
          <w:tcPr>
            <w:tcW w:w="1435" w:type="dxa"/>
            <w:hideMark/>
          </w:tcPr>
          <w:p w:rsidR="007F5832" w:rsidRPr="007F5832" w:rsidRDefault="007F5832" w:rsidP="007F5832">
            <w:pPr>
              <w:rPr>
                <w:rFonts w:ascii="Arial" w:hAnsi="Arial" w:cs="Arial"/>
                <w:u w:val="single"/>
              </w:rPr>
            </w:pPr>
            <w:hyperlink r:id="rId12" w:history="1">
              <w:r w:rsidRPr="007F5832">
                <w:rPr>
                  <w:rStyle w:val="Hyperlink"/>
                  <w:rFonts w:ascii="Arial" w:hAnsi="Arial" w:cs="Arial"/>
                </w:rPr>
                <w:t>SSB 1019</w:t>
              </w:r>
            </w:hyperlink>
          </w:p>
        </w:tc>
        <w:tc>
          <w:tcPr>
            <w:tcW w:w="8550" w:type="dxa"/>
            <w:hideMark/>
          </w:tcPr>
          <w:p w:rsidR="007F5832" w:rsidRPr="007F5832" w:rsidRDefault="007F5832">
            <w:pPr>
              <w:rPr>
                <w:rFonts w:ascii="Arial" w:hAnsi="Arial" w:cs="Arial"/>
              </w:rPr>
            </w:pPr>
            <w:r w:rsidRPr="007F5832">
              <w:rPr>
                <w:rFonts w:ascii="Arial" w:hAnsi="Arial" w:cs="Arial"/>
              </w:rPr>
              <w:t>A bill for an act prohibiting the use of automated traffic law enforcement systems by the department of transportation and regulating the use of other automated traffic law enforcement systems.</w:t>
            </w:r>
          </w:p>
        </w:tc>
      </w:tr>
      <w:tr w:rsidR="007F5832" w:rsidRPr="007F5832" w:rsidTr="007F5832">
        <w:trPr>
          <w:trHeight w:val="1013"/>
        </w:trPr>
        <w:tc>
          <w:tcPr>
            <w:tcW w:w="1435" w:type="dxa"/>
            <w:hideMark/>
          </w:tcPr>
          <w:p w:rsidR="007F5832" w:rsidRPr="007F5832" w:rsidRDefault="007F5832" w:rsidP="007F5832">
            <w:pPr>
              <w:rPr>
                <w:rFonts w:ascii="Arial" w:hAnsi="Arial" w:cs="Arial"/>
                <w:u w:val="single"/>
              </w:rPr>
            </w:pPr>
            <w:hyperlink r:id="rId13" w:history="1">
              <w:r w:rsidRPr="007F5832">
                <w:rPr>
                  <w:rStyle w:val="Hyperlink"/>
                  <w:rFonts w:ascii="Arial" w:hAnsi="Arial" w:cs="Arial"/>
                </w:rPr>
                <w:t>SF 123</w:t>
              </w:r>
            </w:hyperlink>
          </w:p>
        </w:tc>
        <w:tc>
          <w:tcPr>
            <w:tcW w:w="8550" w:type="dxa"/>
            <w:hideMark/>
          </w:tcPr>
          <w:p w:rsidR="007F5832" w:rsidRPr="007F5832" w:rsidRDefault="007F5832">
            <w:pPr>
              <w:rPr>
                <w:rFonts w:ascii="Arial" w:hAnsi="Arial" w:cs="Arial"/>
              </w:rPr>
            </w:pPr>
            <w:r w:rsidRPr="007F5832">
              <w:rPr>
                <w:rFonts w:ascii="Arial" w:hAnsi="Arial" w:cs="Arial"/>
              </w:rPr>
              <w:t>A bill for an act relating to the enforcement of traffic laws, including authorizing peace officers employed by the department of transportation to make arrests for certain violations, prohibiting the use of automated or remote traffic law enforcement systems, and requiring the removal of existing systems, and including effective date provisions.</w:t>
            </w:r>
          </w:p>
        </w:tc>
      </w:tr>
      <w:tr w:rsidR="007F5832" w:rsidRPr="007F5832" w:rsidTr="007F5832">
        <w:trPr>
          <w:trHeight w:val="405"/>
        </w:trPr>
        <w:tc>
          <w:tcPr>
            <w:tcW w:w="1435" w:type="dxa"/>
            <w:hideMark/>
          </w:tcPr>
          <w:p w:rsidR="007F5832" w:rsidRPr="007F5832" w:rsidRDefault="007F5832" w:rsidP="007F5832">
            <w:pPr>
              <w:rPr>
                <w:rFonts w:ascii="Arial" w:hAnsi="Arial" w:cs="Arial"/>
                <w:u w:val="single"/>
              </w:rPr>
            </w:pPr>
            <w:hyperlink r:id="rId14" w:history="1">
              <w:r w:rsidRPr="007F5832">
                <w:rPr>
                  <w:rStyle w:val="Hyperlink"/>
                  <w:rFonts w:ascii="Arial" w:hAnsi="Arial" w:cs="Arial"/>
                </w:rPr>
                <w:t>SF 125</w:t>
              </w:r>
            </w:hyperlink>
          </w:p>
        </w:tc>
        <w:tc>
          <w:tcPr>
            <w:tcW w:w="8550" w:type="dxa"/>
            <w:hideMark/>
          </w:tcPr>
          <w:p w:rsidR="007F5832" w:rsidRPr="007F5832" w:rsidRDefault="007F5832">
            <w:pPr>
              <w:rPr>
                <w:rFonts w:ascii="Arial" w:hAnsi="Arial" w:cs="Arial"/>
              </w:rPr>
            </w:pPr>
            <w:r w:rsidRPr="007F5832">
              <w:rPr>
                <w:rFonts w:ascii="Arial" w:hAnsi="Arial" w:cs="Arial"/>
              </w:rPr>
              <w:t>A bill for an act relating to the display of registration plates on motor vehicles thirty model years old or older.</w:t>
            </w:r>
          </w:p>
        </w:tc>
      </w:tr>
      <w:tr w:rsidR="007F5832" w:rsidRPr="007F5832" w:rsidTr="007F5832">
        <w:trPr>
          <w:trHeight w:val="405"/>
        </w:trPr>
        <w:tc>
          <w:tcPr>
            <w:tcW w:w="1435" w:type="dxa"/>
            <w:hideMark/>
          </w:tcPr>
          <w:p w:rsidR="007F5832" w:rsidRPr="007F5832" w:rsidRDefault="007F5832" w:rsidP="007F5832">
            <w:pPr>
              <w:rPr>
                <w:rFonts w:ascii="Arial" w:hAnsi="Arial" w:cs="Arial"/>
                <w:u w:val="single"/>
              </w:rPr>
            </w:pPr>
            <w:hyperlink r:id="rId15" w:history="1">
              <w:r w:rsidRPr="007F5832">
                <w:rPr>
                  <w:rStyle w:val="Hyperlink"/>
                  <w:rFonts w:ascii="Arial" w:hAnsi="Arial" w:cs="Arial"/>
                </w:rPr>
                <w:t>HF 96</w:t>
              </w:r>
            </w:hyperlink>
          </w:p>
        </w:tc>
        <w:tc>
          <w:tcPr>
            <w:tcW w:w="8550" w:type="dxa"/>
            <w:hideMark/>
          </w:tcPr>
          <w:p w:rsidR="007F5832" w:rsidRPr="007F5832" w:rsidRDefault="007F5832">
            <w:pPr>
              <w:rPr>
                <w:rFonts w:ascii="Arial" w:hAnsi="Arial" w:cs="Arial"/>
              </w:rPr>
            </w:pPr>
            <w:r w:rsidRPr="007F5832">
              <w:rPr>
                <w:rFonts w:ascii="Arial" w:hAnsi="Arial" w:cs="Arial"/>
              </w:rPr>
              <w:t>A bill for an act relating to a reporting requirement for property seized for forfeiture or forfeited in this state, and including applicability provisions.</w:t>
            </w:r>
          </w:p>
        </w:tc>
      </w:tr>
      <w:tr w:rsidR="007F5832" w:rsidRPr="007F5832" w:rsidTr="007F5832">
        <w:trPr>
          <w:trHeight w:val="608"/>
        </w:trPr>
        <w:tc>
          <w:tcPr>
            <w:tcW w:w="1435" w:type="dxa"/>
            <w:hideMark/>
          </w:tcPr>
          <w:p w:rsidR="007F5832" w:rsidRPr="007F5832" w:rsidRDefault="007F5832" w:rsidP="007F5832">
            <w:pPr>
              <w:rPr>
                <w:rFonts w:ascii="Arial" w:hAnsi="Arial" w:cs="Arial"/>
                <w:u w:val="single"/>
              </w:rPr>
            </w:pPr>
            <w:hyperlink r:id="rId16" w:history="1">
              <w:r w:rsidRPr="007F5832">
                <w:rPr>
                  <w:rStyle w:val="Hyperlink"/>
                  <w:rFonts w:ascii="Arial" w:hAnsi="Arial" w:cs="Arial"/>
                </w:rPr>
                <w:t>SSB 1019</w:t>
              </w:r>
            </w:hyperlink>
          </w:p>
        </w:tc>
        <w:tc>
          <w:tcPr>
            <w:tcW w:w="8550" w:type="dxa"/>
            <w:hideMark/>
          </w:tcPr>
          <w:p w:rsidR="007F5832" w:rsidRPr="007F5832" w:rsidRDefault="007F5832">
            <w:pPr>
              <w:rPr>
                <w:rFonts w:ascii="Arial" w:hAnsi="Arial" w:cs="Arial"/>
              </w:rPr>
            </w:pPr>
            <w:r w:rsidRPr="007F5832">
              <w:rPr>
                <w:rFonts w:ascii="Arial" w:hAnsi="Arial" w:cs="Arial"/>
              </w:rPr>
              <w:t>A bill for an act prohibiting the use of automated traffic law enforcement systems by the department of transportation and regulating the use of other automated traffic law enforcement systems.</w:t>
            </w:r>
          </w:p>
        </w:tc>
      </w:tr>
    </w:tbl>
    <w:p w:rsidR="007F5832" w:rsidRDefault="007F5832" w:rsidP="00A401F4">
      <w:pPr>
        <w:rPr>
          <w:rFonts w:ascii="Arial" w:hAnsi="Arial" w:cs="Arial"/>
        </w:rPr>
      </w:pPr>
      <w:r>
        <w:rPr>
          <w:rFonts w:ascii="Arial" w:hAnsi="Arial" w:cs="Arial"/>
        </w:rPr>
        <w:fldChar w:fldCharType="end"/>
      </w:r>
    </w:p>
    <w:p w:rsidR="00460DEC" w:rsidRDefault="00460DEC" w:rsidP="00A401F4">
      <w:pPr>
        <w:rPr>
          <w:rFonts w:ascii="Arial" w:hAnsi="Arial" w:cs="Arial"/>
        </w:rPr>
      </w:pPr>
      <w:bookmarkStart w:id="0" w:name="_GoBack"/>
      <w:bookmarkEnd w:id="0"/>
    </w:p>
    <w:sectPr w:rsidR="00460DEC" w:rsidSect="00BF2C77">
      <w:type w:val="continuous"/>
      <w:pgSz w:w="12240" w:h="15840"/>
      <w:pgMar w:top="720" w:right="1296" w:bottom="1296" w:left="1296"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D5E" w:rsidRDefault="003E1D5E" w:rsidP="00CE421E">
      <w:r>
        <w:separator/>
      </w:r>
    </w:p>
  </w:endnote>
  <w:endnote w:type="continuationSeparator" w:id="0">
    <w:p w:rsidR="003E1D5E" w:rsidRDefault="003E1D5E" w:rsidP="00CE4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FF9" w:rsidRDefault="00332FF9" w:rsidP="00446B38">
    <w:pPr>
      <w:pStyle w:val="Footer"/>
      <w:jc w:val="center"/>
      <w:rPr>
        <w:sz w:val="16"/>
      </w:rPr>
    </w:pPr>
    <w:r>
      <w:rPr>
        <w:sz w:val="16"/>
      </w:rPr>
      <w:t>Prepared by:</w:t>
    </w:r>
  </w:p>
  <w:p w:rsidR="00332FF9" w:rsidRDefault="00332FF9" w:rsidP="00446B38">
    <w:pPr>
      <w:pStyle w:val="Footer"/>
      <w:jc w:val="center"/>
      <w:rPr>
        <w:sz w:val="16"/>
      </w:rPr>
    </w:pPr>
  </w:p>
  <w:p w:rsidR="00332FF9" w:rsidRDefault="00332FF9" w:rsidP="00446B38">
    <w:pPr>
      <w:pStyle w:val="Footer"/>
      <w:jc w:val="center"/>
      <w:rPr>
        <w:sz w:val="16"/>
      </w:rPr>
    </w:pPr>
    <w:r>
      <w:rPr>
        <w:sz w:val="16"/>
      </w:rPr>
      <w:t>SKINNER &amp; PASCHKE, PLLC</w:t>
    </w:r>
  </w:p>
  <w:p w:rsidR="00332FF9" w:rsidRDefault="00332FF9" w:rsidP="00446B38">
    <w:pPr>
      <w:pStyle w:val="Footer"/>
      <w:jc w:val="center"/>
      <w:rPr>
        <w:sz w:val="16"/>
      </w:rPr>
    </w:pPr>
    <w:r>
      <w:rPr>
        <w:sz w:val="16"/>
      </w:rPr>
      <w:t xml:space="preserve">204 W. Hickman Road  *  </w:t>
    </w:r>
    <w:smartTag w:uri="urn:schemas-microsoft-com:office:smarttags" w:element="place">
      <w:smartTag w:uri="urn:schemas-microsoft-com:office:smarttags" w:element="City">
        <w:r>
          <w:rPr>
            <w:sz w:val="16"/>
          </w:rPr>
          <w:t>Waukee</w:t>
        </w:r>
      </w:smartTag>
      <w:r>
        <w:rPr>
          <w:sz w:val="16"/>
        </w:rPr>
        <w:t xml:space="preserve">, </w:t>
      </w:r>
      <w:smartTag w:uri="urn:schemas-microsoft-com:office:smarttags" w:element="place">
        <w:r>
          <w:rPr>
            <w:sz w:val="16"/>
          </w:rPr>
          <w:t>Iowa</w:t>
        </w:r>
      </w:smartTag>
      <w:r>
        <w:rPr>
          <w:sz w:val="16"/>
        </w:rPr>
        <w:t xml:space="preserve"> </w:t>
      </w:r>
      <w:smartTag w:uri="urn:schemas-microsoft-com:office:smarttags" w:element="place">
        <w:r>
          <w:rPr>
            <w:sz w:val="16"/>
          </w:rPr>
          <w:t>50263</w:t>
        </w:r>
      </w:smartTag>
    </w:smartTag>
  </w:p>
  <w:p w:rsidR="00332FF9" w:rsidRDefault="00332FF9" w:rsidP="00446B38">
    <w:pPr>
      <w:pStyle w:val="Footer"/>
      <w:jc w:val="center"/>
      <w:rPr>
        <w:sz w:val="16"/>
      </w:rPr>
    </w:pPr>
    <w:r>
      <w:rPr>
        <w:sz w:val="16"/>
      </w:rPr>
      <w:t>Tel.  (515) 987-0022  Fax. (515) 987-6972</w:t>
    </w:r>
  </w:p>
  <w:p w:rsidR="00332FF9" w:rsidRDefault="00332F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D5E" w:rsidRDefault="003E1D5E" w:rsidP="00CE421E">
      <w:r>
        <w:separator/>
      </w:r>
    </w:p>
  </w:footnote>
  <w:footnote w:type="continuationSeparator" w:id="0">
    <w:p w:rsidR="003E1D5E" w:rsidRDefault="003E1D5E" w:rsidP="00CE42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B060E"/>
    <w:multiLevelType w:val="hybridMultilevel"/>
    <w:tmpl w:val="0A943B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986C29"/>
    <w:multiLevelType w:val="hybridMultilevel"/>
    <w:tmpl w:val="52FCE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A84F3A"/>
    <w:multiLevelType w:val="hybridMultilevel"/>
    <w:tmpl w:val="D1CE4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4D588E"/>
    <w:multiLevelType w:val="hybridMultilevel"/>
    <w:tmpl w:val="354ADBE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1F4"/>
    <w:rsid w:val="0004692B"/>
    <w:rsid w:val="000473A4"/>
    <w:rsid w:val="00062C42"/>
    <w:rsid w:val="00087C6A"/>
    <w:rsid w:val="000D4EE3"/>
    <w:rsid w:val="00127DDA"/>
    <w:rsid w:val="00145256"/>
    <w:rsid w:val="001B5C7E"/>
    <w:rsid w:val="001C4411"/>
    <w:rsid w:val="00261E6B"/>
    <w:rsid w:val="00287ED7"/>
    <w:rsid w:val="00332FF9"/>
    <w:rsid w:val="003368F0"/>
    <w:rsid w:val="00363C49"/>
    <w:rsid w:val="003A77FF"/>
    <w:rsid w:val="003C53A3"/>
    <w:rsid w:val="003E1D5E"/>
    <w:rsid w:val="00403059"/>
    <w:rsid w:val="004155CF"/>
    <w:rsid w:val="00446B38"/>
    <w:rsid w:val="00460DEC"/>
    <w:rsid w:val="00467494"/>
    <w:rsid w:val="004F665C"/>
    <w:rsid w:val="00513FFF"/>
    <w:rsid w:val="0053270D"/>
    <w:rsid w:val="00550EA5"/>
    <w:rsid w:val="005A1F97"/>
    <w:rsid w:val="005A544C"/>
    <w:rsid w:val="006038B1"/>
    <w:rsid w:val="006062B9"/>
    <w:rsid w:val="00612ED3"/>
    <w:rsid w:val="00634C9D"/>
    <w:rsid w:val="00644142"/>
    <w:rsid w:val="00647EBF"/>
    <w:rsid w:val="00662EE8"/>
    <w:rsid w:val="007264DE"/>
    <w:rsid w:val="00746DE8"/>
    <w:rsid w:val="00754A87"/>
    <w:rsid w:val="0078453B"/>
    <w:rsid w:val="00791F9A"/>
    <w:rsid w:val="00796D6A"/>
    <w:rsid w:val="007B321C"/>
    <w:rsid w:val="007E318A"/>
    <w:rsid w:val="007F06D9"/>
    <w:rsid w:val="007F5832"/>
    <w:rsid w:val="008150D5"/>
    <w:rsid w:val="008748B9"/>
    <w:rsid w:val="008A797B"/>
    <w:rsid w:val="008B05F8"/>
    <w:rsid w:val="008B6718"/>
    <w:rsid w:val="008F2EFF"/>
    <w:rsid w:val="00901B53"/>
    <w:rsid w:val="00915196"/>
    <w:rsid w:val="009325AA"/>
    <w:rsid w:val="009802EB"/>
    <w:rsid w:val="00A1603E"/>
    <w:rsid w:val="00A401F4"/>
    <w:rsid w:val="00A93126"/>
    <w:rsid w:val="00AD39CF"/>
    <w:rsid w:val="00AE2F32"/>
    <w:rsid w:val="00B0077A"/>
    <w:rsid w:val="00B90A7B"/>
    <w:rsid w:val="00BD66E3"/>
    <w:rsid w:val="00BF2C77"/>
    <w:rsid w:val="00C43570"/>
    <w:rsid w:val="00C76E6A"/>
    <w:rsid w:val="00CA120C"/>
    <w:rsid w:val="00CB301B"/>
    <w:rsid w:val="00CB3D52"/>
    <w:rsid w:val="00CD10EA"/>
    <w:rsid w:val="00CE421E"/>
    <w:rsid w:val="00CE43CE"/>
    <w:rsid w:val="00CF39F5"/>
    <w:rsid w:val="00D12EDF"/>
    <w:rsid w:val="00D1720B"/>
    <w:rsid w:val="00D60AFD"/>
    <w:rsid w:val="00E02C5A"/>
    <w:rsid w:val="00E47464"/>
    <w:rsid w:val="00E821CF"/>
    <w:rsid w:val="00E963B3"/>
    <w:rsid w:val="00EC1BEF"/>
    <w:rsid w:val="00ED0A71"/>
    <w:rsid w:val="00EE21DD"/>
    <w:rsid w:val="00EF28F0"/>
    <w:rsid w:val="00F06005"/>
    <w:rsid w:val="00F4663E"/>
    <w:rsid w:val="00F64D10"/>
    <w:rsid w:val="00F766DD"/>
    <w:rsid w:val="00FD6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676A65EB"/>
  <w15:docId w15:val="{BAD2A41F-A318-4280-9712-9DF50A4C1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401F4"/>
    <w:rPr>
      <w:rFonts w:ascii="Times New Roman" w:eastAsia="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401F4"/>
    <w:pPr>
      <w:tabs>
        <w:tab w:val="center" w:pos="4320"/>
        <w:tab w:val="right" w:pos="8640"/>
      </w:tabs>
    </w:pPr>
  </w:style>
  <w:style w:type="character" w:customStyle="1" w:styleId="FooterChar">
    <w:name w:val="Footer Char"/>
    <w:basedOn w:val="DefaultParagraphFont"/>
    <w:link w:val="Footer"/>
    <w:uiPriority w:val="99"/>
    <w:locked/>
    <w:rsid w:val="00A401F4"/>
    <w:rPr>
      <w:rFonts w:ascii="Times New Roman" w:hAnsi="Times New Roman" w:cs="Times New Roman"/>
      <w:sz w:val="24"/>
      <w:szCs w:val="24"/>
    </w:rPr>
  </w:style>
  <w:style w:type="paragraph" w:customStyle="1" w:styleId="Default">
    <w:name w:val="Default"/>
    <w:uiPriority w:val="99"/>
    <w:rsid w:val="00BF2C77"/>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AE2F32"/>
    <w:rPr>
      <w:rFonts w:cs="Times New Roman"/>
      <w:color w:val="0000FF"/>
      <w:u w:val="single"/>
    </w:rPr>
  </w:style>
  <w:style w:type="paragraph" w:styleId="z-TopofForm">
    <w:name w:val="HTML Top of Form"/>
    <w:basedOn w:val="Normal"/>
    <w:next w:val="Normal"/>
    <w:link w:val="z-TopofFormChar"/>
    <w:hidden/>
    <w:uiPriority w:val="99"/>
    <w:rsid w:val="00A93126"/>
    <w:pPr>
      <w:pBdr>
        <w:bottom w:val="single" w:sz="6" w:space="1" w:color="auto"/>
      </w:pBdr>
      <w:jc w:val="center"/>
    </w:pPr>
    <w:rPr>
      <w:rFonts w:ascii="Arial" w:eastAsia="Calibri" w:hAnsi="Arial" w:cs="Arial"/>
      <w:vanish/>
      <w:sz w:val="16"/>
      <w:szCs w:val="16"/>
    </w:rPr>
  </w:style>
  <w:style w:type="character" w:customStyle="1" w:styleId="z-TopofFormChar">
    <w:name w:val="z-Top of Form Char"/>
    <w:basedOn w:val="DefaultParagraphFont"/>
    <w:link w:val="z-TopofForm"/>
    <w:uiPriority w:val="99"/>
    <w:semiHidden/>
    <w:rsid w:val="003A549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rsid w:val="00A93126"/>
    <w:pPr>
      <w:pBdr>
        <w:top w:val="single" w:sz="6" w:space="1" w:color="auto"/>
      </w:pBdr>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uiPriority w:val="99"/>
    <w:semiHidden/>
    <w:rsid w:val="003A5495"/>
    <w:rPr>
      <w:rFonts w:ascii="Arial" w:eastAsia="Times New Roman" w:hAnsi="Arial" w:cs="Arial"/>
      <w:vanish/>
      <w:sz w:val="16"/>
      <w:szCs w:val="16"/>
    </w:rPr>
  </w:style>
  <w:style w:type="character" w:styleId="FollowedHyperlink">
    <w:name w:val="FollowedHyperlink"/>
    <w:basedOn w:val="DefaultParagraphFont"/>
    <w:uiPriority w:val="99"/>
    <w:semiHidden/>
    <w:unhideWhenUsed/>
    <w:rsid w:val="003C53A3"/>
    <w:rPr>
      <w:color w:val="800080" w:themeColor="followedHyperlink"/>
      <w:u w:val="single"/>
    </w:rPr>
  </w:style>
  <w:style w:type="table" w:styleId="TableGrid">
    <w:name w:val="Table Grid"/>
    <w:basedOn w:val="TableNormal"/>
    <w:locked/>
    <w:rsid w:val="00127D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0DEC"/>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60576">
      <w:bodyDiv w:val="1"/>
      <w:marLeft w:val="0"/>
      <w:marRight w:val="0"/>
      <w:marTop w:val="0"/>
      <w:marBottom w:val="0"/>
      <w:divBdr>
        <w:top w:val="none" w:sz="0" w:space="0" w:color="auto"/>
        <w:left w:val="none" w:sz="0" w:space="0" w:color="auto"/>
        <w:bottom w:val="none" w:sz="0" w:space="0" w:color="auto"/>
        <w:right w:val="none" w:sz="0" w:space="0" w:color="auto"/>
      </w:divBdr>
    </w:div>
    <w:div w:id="227620880">
      <w:bodyDiv w:val="1"/>
      <w:marLeft w:val="0"/>
      <w:marRight w:val="0"/>
      <w:marTop w:val="0"/>
      <w:marBottom w:val="0"/>
      <w:divBdr>
        <w:top w:val="none" w:sz="0" w:space="0" w:color="auto"/>
        <w:left w:val="none" w:sz="0" w:space="0" w:color="auto"/>
        <w:bottom w:val="none" w:sz="0" w:space="0" w:color="auto"/>
        <w:right w:val="none" w:sz="0" w:space="0" w:color="auto"/>
      </w:divBdr>
    </w:div>
    <w:div w:id="331689337">
      <w:marLeft w:val="0"/>
      <w:marRight w:val="0"/>
      <w:marTop w:val="0"/>
      <w:marBottom w:val="0"/>
      <w:divBdr>
        <w:top w:val="none" w:sz="0" w:space="0" w:color="auto"/>
        <w:left w:val="none" w:sz="0" w:space="0" w:color="auto"/>
        <w:bottom w:val="none" w:sz="0" w:space="0" w:color="auto"/>
        <w:right w:val="none" w:sz="0" w:space="0" w:color="auto"/>
      </w:divBdr>
    </w:div>
    <w:div w:id="331689338">
      <w:marLeft w:val="0"/>
      <w:marRight w:val="0"/>
      <w:marTop w:val="0"/>
      <w:marBottom w:val="0"/>
      <w:divBdr>
        <w:top w:val="none" w:sz="0" w:space="0" w:color="auto"/>
        <w:left w:val="none" w:sz="0" w:space="0" w:color="auto"/>
        <w:bottom w:val="none" w:sz="0" w:space="0" w:color="auto"/>
        <w:right w:val="none" w:sz="0" w:space="0" w:color="auto"/>
      </w:divBdr>
    </w:div>
    <w:div w:id="331689339">
      <w:marLeft w:val="0"/>
      <w:marRight w:val="0"/>
      <w:marTop w:val="0"/>
      <w:marBottom w:val="0"/>
      <w:divBdr>
        <w:top w:val="none" w:sz="0" w:space="0" w:color="auto"/>
        <w:left w:val="none" w:sz="0" w:space="0" w:color="auto"/>
        <w:bottom w:val="none" w:sz="0" w:space="0" w:color="auto"/>
        <w:right w:val="none" w:sz="0" w:space="0" w:color="auto"/>
      </w:divBdr>
    </w:div>
    <w:div w:id="331689340">
      <w:marLeft w:val="0"/>
      <w:marRight w:val="0"/>
      <w:marTop w:val="0"/>
      <w:marBottom w:val="0"/>
      <w:divBdr>
        <w:top w:val="none" w:sz="0" w:space="0" w:color="auto"/>
        <w:left w:val="none" w:sz="0" w:space="0" w:color="auto"/>
        <w:bottom w:val="none" w:sz="0" w:space="0" w:color="auto"/>
        <w:right w:val="none" w:sz="0" w:space="0" w:color="auto"/>
      </w:divBdr>
    </w:div>
    <w:div w:id="331689341">
      <w:marLeft w:val="0"/>
      <w:marRight w:val="0"/>
      <w:marTop w:val="0"/>
      <w:marBottom w:val="0"/>
      <w:divBdr>
        <w:top w:val="none" w:sz="0" w:space="0" w:color="auto"/>
        <w:left w:val="none" w:sz="0" w:space="0" w:color="auto"/>
        <w:bottom w:val="none" w:sz="0" w:space="0" w:color="auto"/>
        <w:right w:val="none" w:sz="0" w:space="0" w:color="auto"/>
      </w:divBdr>
    </w:div>
    <w:div w:id="331689342">
      <w:marLeft w:val="0"/>
      <w:marRight w:val="0"/>
      <w:marTop w:val="0"/>
      <w:marBottom w:val="0"/>
      <w:divBdr>
        <w:top w:val="none" w:sz="0" w:space="0" w:color="auto"/>
        <w:left w:val="none" w:sz="0" w:space="0" w:color="auto"/>
        <w:bottom w:val="none" w:sz="0" w:space="0" w:color="auto"/>
        <w:right w:val="none" w:sz="0" w:space="0" w:color="auto"/>
      </w:divBdr>
    </w:div>
    <w:div w:id="813252727">
      <w:bodyDiv w:val="1"/>
      <w:marLeft w:val="0"/>
      <w:marRight w:val="0"/>
      <w:marTop w:val="0"/>
      <w:marBottom w:val="0"/>
      <w:divBdr>
        <w:top w:val="none" w:sz="0" w:space="0" w:color="auto"/>
        <w:left w:val="none" w:sz="0" w:space="0" w:color="auto"/>
        <w:bottom w:val="none" w:sz="0" w:space="0" w:color="auto"/>
        <w:right w:val="none" w:sz="0" w:space="0" w:color="auto"/>
      </w:divBdr>
    </w:div>
    <w:div w:id="956182805">
      <w:bodyDiv w:val="1"/>
      <w:marLeft w:val="0"/>
      <w:marRight w:val="0"/>
      <w:marTop w:val="0"/>
      <w:marBottom w:val="0"/>
      <w:divBdr>
        <w:top w:val="none" w:sz="0" w:space="0" w:color="auto"/>
        <w:left w:val="none" w:sz="0" w:space="0" w:color="auto"/>
        <w:bottom w:val="none" w:sz="0" w:space="0" w:color="auto"/>
        <w:right w:val="none" w:sz="0" w:space="0" w:color="auto"/>
      </w:divBdr>
    </w:div>
    <w:div w:id="1594507405">
      <w:bodyDiv w:val="1"/>
      <w:marLeft w:val="0"/>
      <w:marRight w:val="0"/>
      <w:marTop w:val="0"/>
      <w:marBottom w:val="0"/>
      <w:divBdr>
        <w:top w:val="none" w:sz="0" w:space="0" w:color="auto"/>
        <w:left w:val="none" w:sz="0" w:space="0" w:color="auto"/>
        <w:bottom w:val="none" w:sz="0" w:space="0" w:color="auto"/>
        <w:right w:val="none" w:sz="0" w:space="0" w:color="auto"/>
      </w:divBdr>
    </w:div>
    <w:div w:id="1629778299">
      <w:bodyDiv w:val="1"/>
      <w:marLeft w:val="0"/>
      <w:marRight w:val="0"/>
      <w:marTop w:val="0"/>
      <w:marBottom w:val="0"/>
      <w:divBdr>
        <w:top w:val="none" w:sz="0" w:space="0" w:color="auto"/>
        <w:left w:val="none" w:sz="0" w:space="0" w:color="auto"/>
        <w:bottom w:val="none" w:sz="0" w:space="0" w:color="auto"/>
        <w:right w:val="none" w:sz="0" w:space="0" w:color="auto"/>
      </w:divBdr>
    </w:div>
    <w:div w:id="1819879106">
      <w:bodyDiv w:val="1"/>
      <w:marLeft w:val="0"/>
      <w:marRight w:val="0"/>
      <w:marTop w:val="0"/>
      <w:marBottom w:val="0"/>
      <w:divBdr>
        <w:top w:val="none" w:sz="0" w:space="0" w:color="auto"/>
        <w:left w:val="none" w:sz="0" w:space="0" w:color="auto"/>
        <w:bottom w:val="none" w:sz="0" w:space="0" w:color="auto"/>
        <w:right w:val="none" w:sz="0" w:space="0" w:color="auto"/>
      </w:divBdr>
    </w:div>
    <w:div w:id="193482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legis.iowa.gov/legislation/BillBook?ba=SF123&amp;ga=87"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www.legis.iowa.gov/legislation/BillBook?ba=SSB1019&amp;ga=8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legis.iowa.gov/legislation/BillBook?ba=SSB1019&amp;ga=8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iowa.gov/legislation/BillBook?ba=HSB32&amp;ga=87" TargetMode="External"/><Relationship Id="rId5" Type="http://schemas.openxmlformats.org/officeDocument/2006/relationships/footnotes" Target="footnotes.xml"/><Relationship Id="rId15" Type="http://schemas.openxmlformats.org/officeDocument/2006/relationships/hyperlink" Target="https://www.legis.iowa.gov/legislation/BillBook?ba=HF96&amp;ga=87" TargetMode="External"/><Relationship Id="rId10" Type="http://schemas.openxmlformats.org/officeDocument/2006/relationships/hyperlink" Target="https://www.legis.iowa.gov/legislation/BillBook?ba=HF77&amp;ga=87" TargetMode="External"/><Relationship Id="rId4" Type="http://schemas.openxmlformats.org/officeDocument/2006/relationships/webSettings" Target="webSettings.xml"/><Relationship Id="rId9" Type="http://schemas.openxmlformats.org/officeDocument/2006/relationships/hyperlink" Target="https://www.legis.iowa.gov/legislation/BillBook?ba=HF83&amp;ga=87" TargetMode="External"/><Relationship Id="rId14" Type="http://schemas.openxmlformats.org/officeDocument/2006/relationships/hyperlink" Target="https://www.legis.iowa.gov/legislation/BillBook?ba=SF125&amp;ga=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1034</Words>
  <Characters>5897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Kellie Paschke</dc:creator>
  <cp:lastModifiedBy>Skinner Paschke</cp:lastModifiedBy>
  <cp:revision>3</cp:revision>
  <dcterms:created xsi:type="dcterms:W3CDTF">2017-01-30T02:13:00Z</dcterms:created>
  <dcterms:modified xsi:type="dcterms:W3CDTF">2017-01-30T02:14:00Z</dcterms:modified>
</cp:coreProperties>
</file>